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3FF6" w14:textId="77777777" w:rsidR="00FF7555" w:rsidRDefault="00E431EA" w:rsidP="00E431E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AFCC046" w14:textId="77777777" w:rsidR="00FF7555" w:rsidRDefault="00FF7555" w:rsidP="00E431E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B228313" w14:textId="613EFADE" w:rsidR="00FF7555" w:rsidRDefault="00FF7555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2B102F" w14:textId="3718A661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B39FC5" w14:textId="51051BD0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08CCD5" w14:textId="08A6F228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A495CB" w14:textId="50133522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BEA2F86" w14:textId="322DD6D0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396A6B5" w14:textId="77777777" w:rsidR="00E431EA" w:rsidRDefault="00E431EA" w:rsidP="00E431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0B5F2C" w14:textId="77777777" w:rsidR="00FF7555" w:rsidRDefault="00E431EA" w:rsidP="00E431E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D4EEAC9" w14:textId="77777777" w:rsidR="00FF7555" w:rsidRDefault="00E431EA" w:rsidP="00E431E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791E5A7" w14:textId="77777777" w:rsidR="00FF7555" w:rsidRDefault="00FF7555" w:rsidP="00E431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3242032" w14:textId="77777777" w:rsidR="00FF7555" w:rsidRDefault="00FF7555" w:rsidP="00E431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BF3E0A1" w14:textId="77777777" w:rsidR="00FF7555" w:rsidRDefault="00FF7555" w:rsidP="00E431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FD3863" w14:textId="77777777" w:rsidR="00FF7555" w:rsidRDefault="00FF7555" w:rsidP="00E431E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E68F4C5" w14:textId="77777777" w:rsidR="00FF7555" w:rsidRDefault="00FF7555" w:rsidP="00E431E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B831C5C" w14:textId="77777777" w:rsidR="00FF7555" w:rsidRDefault="00E431EA" w:rsidP="00E431E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FE3B364" w14:textId="77777777" w:rsidR="00FF7555" w:rsidRDefault="00E431EA" w:rsidP="00E431E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животноводства</w:t>
      </w:r>
      <w:r>
        <w:br w:type="page"/>
      </w:r>
    </w:p>
    <w:p w14:paraId="2D65BF1F" w14:textId="77777777" w:rsidR="00FF7555" w:rsidRDefault="00E431EA" w:rsidP="00E431E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361E027" w14:textId="77777777" w:rsidR="00FF7555" w:rsidRDefault="00E431EA" w:rsidP="00E431EA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4CE1147B" w14:textId="77777777" w:rsidR="00FF7555" w:rsidRDefault="00E431EA" w:rsidP="00E431EA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</w:t>
      </w:r>
      <w:r>
        <w:t>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71DB8421" w14:textId="77777777" w:rsidR="00FF7555" w:rsidRDefault="00E431EA" w:rsidP="00E431E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</w:t>
      </w:r>
      <w:r>
        <w:t>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D68D0D7" w14:textId="77777777" w:rsidR="00FF7555" w:rsidRDefault="00E431EA" w:rsidP="00E431E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</w:t>
      </w:r>
      <w:r>
        <w:t>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09207C7C" w14:textId="77777777" w:rsidR="00FF7555" w:rsidRDefault="00E431EA" w:rsidP="00E431EA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</w:t>
      </w:r>
      <w:r>
        <w:t>именён специальный набор индикаторов.</w:t>
      </w:r>
    </w:p>
    <w:p w14:paraId="3E545340" w14:textId="77777777" w:rsidR="00FF7555" w:rsidRDefault="00E431EA" w:rsidP="00E431E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40A8C8D" w14:textId="77777777" w:rsidR="00FF7555" w:rsidRDefault="00E431EA" w:rsidP="00E431EA">
      <w:pPr>
        <w:spacing w:line="240" w:lineRule="auto"/>
      </w:pPr>
      <w:r>
        <w:t>В анкетировании принял(-и) участие 5 работодатель(-я,-ей), участвующий(-их) в реализации образовательной программы.</w:t>
      </w:r>
    </w:p>
    <w:p w14:paraId="63BECFF1" w14:textId="77777777" w:rsidR="00FF7555" w:rsidRDefault="00E431EA" w:rsidP="00E431EA">
      <w:pPr>
        <w:spacing w:line="240" w:lineRule="auto"/>
      </w:pPr>
      <w:r>
        <w:t>Полученные данные будут использованы для разработки мер по эффект</w:t>
      </w:r>
      <w:r>
        <w:t>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</w:t>
      </w:r>
      <w:r>
        <w:t>ельного процесса.</w:t>
      </w:r>
    </w:p>
    <w:p w14:paraId="2A3C3EC6" w14:textId="77777777" w:rsidR="00FF7555" w:rsidRDefault="00E431EA" w:rsidP="00E431EA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</w:t>
      </w:r>
      <w:r>
        <w:t>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6440ECD2" w14:textId="77777777" w:rsidR="00FF7555" w:rsidRDefault="00FF7555" w:rsidP="00E431EA">
      <w:pPr>
        <w:spacing w:line="240" w:lineRule="auto"/>
      </w:pPr>
    </w:p>
    <w:p w14:paraId="29CA2BA7" w14:textId="77777777" w:rsidR="00FF7555" w:rsidRDefault="00FF7555" w:rsidP="00E431EA">
      <w:pPr>
        <w:spacing w:line="240" w:lineRule="auto"/>
      </w:pPr>
    </w:p>
    <w:p w14:paraId="4BF966B5" w14:textId="77777777" w:rsidR="00FF7555" w:rsidRDefault="00E431EA" w:rsidP="00E431EA">
      <w:pPr>
        <w:spacing w:line="240" w:lineRule="auto"/>
      </w:pPr>
      <w:r>
        <w:br w:type="page"/>
      </w:r>
    </w:p>
    <w:p w14:paraId="39E5FAB5" w14:textId="77777777" w:rsidR="00FF7555" w:rsidRDefault="00E431EA" w:rsidP="00E431E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9E32D4F" w14:textId="2D726632" w:rsidR="00FF7555" w:rsidRPr="00E431EA" w:rsidRDefault="00E431EA" w:rsidP="00E431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431EA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1B4E390C" w14:textId="1E9FFFC6" w:rsidR="00FF7555" w:rsidRDefault="00E431EA" w:rsidP="00E431E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701F2B" wp14:editId="4C100BC2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F32E4" w14:textId="114A0BCF" w:rsidR="00FF7555" w:rsidRPr="00E431EA" w:rsidRDefault="00E431EA" w:rsidP="00E431E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</w:t>
      </w:r>
      <w:r>
        <w:rPr>
          <w:sz w:val="22"/>
          <w:szCs w:val="22"/>
        </w:rPr>
        <w:t>ровня удовлетворённости всех респондентов по блоку вопросов «Удовлетворённость взаимодействием с вузом»</w:t>
      </w:r>
    </w:p>
    <w:p w14:paraId="4D800AC7" w14:textId="77777777" w:rsidR="00FF7555" w:rsidRDefault="00E431EA" w:rsidP="00E431EA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9.54.</w:t>
      </w:r>
    </w:p>
    <w:p w14:paraId="442A45BD" w14:textId="77777777" w:rsidR="00FF7555" w:rsidRDefault="00E431EA" w:rsidP="00E431EA">
      <w:pPr>
        <w:spacing w:line="240" w:lineRule="auto"/>
      </w:pPr>
      <w:r>
        <w:t>Результаты анкетирования респондентов показывают, что</w:t>
      </w:r>
      <w:r>
        <w:t xml:space="preserve"> критериальные значения уровня удовлетворённости распределены следующим образом: </w:t>
      </w:r>
    </w:p>
    <w:p w14:paraId="24C24E83" w14:textId="77777777" w:rsidR="00FF7555" w:rsidRDefault="00E431EA" w:rsidP="00E431E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D4AABD0" w14:textId="77777777" w:rsidR="00FF7555" w:rsidRDefault="00E431EA" w:rsidP="00E431E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4AE3B8E" w14:textId="77777777" w:rsidR="00FF7555" w:rsidRDefault="00E431EA" w:rsidP="00E431EA">
      <w:pPr>
        <w:spacing w:line="240" w:lineRule="auto"/>
      </w:pPr>
      <w:r>
        <w:t>Повышенный уровень удовлетворённости не в</w:t>
      </w:r>
      <w:r>
        <w:t>ыявлен ни по одному вопросу.</w:t>
      </w:r>
    </w:p>
    <w:p w14:paraId="6B2F8D20" w14:textId="77777777" w:rsidR="00FF7555" w:rsidRDefault="00E431EA" w:rsidP="00E431EA">
      <w:pPr>
        <w:spacing w:line="240" w:lineRule="auto"/>
      </w:pPr>
      <w:r>
        <w:t>Высокий уровень удовлетворённости отмечен по вопросам: «Оцените организацию и проведение производственных практик студентов на базе организации (предприятия)», «Оцените проведение совместных с университетом мероприятий по профо</w:t>
      </w:r>
      <w:r>
        <w:t>риентационной работе», «Оцените возможность обучения своих сотрудников в университете», «Оцените возможность участия в целевом обучении студентов», «Оцените планирование совместно с университетом организации стажировок студентов», «Оцените удовлетворённост</w:t>
      </w:r>
      <w:r>
        <w:t>ь взаимодействием с руководством вуза (с ректоратом, деканатом)»,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</w:t>
      </w:r>
      <w:r>
        <w:t>я», «Оцените проведение совместных исследований и разработок, научно-практических конференций», «Оцените участие в разработке (актуализации) образовательных программ».</w:t>
      </w:r>
    </w:p>
    <w:p w14:paraId="3E197077" w14:textId="31A7484F" w:rsidR="00FF7555" w:rsidRPr="00E431EA" w:rsidRDefault="00E431EA" w:rsidP="00E431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431EA">
        <w:rPr>
          <w:rFonts w:ascii="Times New Roman" w:hAnsi="Times New Roman"/>
          <w:sz w:val="26"/>
          <w:szCs w:val="26"/>
        </w:rPr>
        <w:lastRenderedPageBreak/>
        <w:t>У</w:t>
      </w:r>
      <w:r w:rsidRPr="00E431EA">
        <w:rPr>
          <w:rFonts w:ascii="Times New Roman" w:hAnsi="Times New Roman"/>
          <w:sz w:val="26"/>
          <w:szCs w:val="26"/>
        </w:rPr>
        <w:t>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0FC5C98" w14:textId="29D5E680" w:rsidR="00FF7555" w:rsidRDefault="00E431EA" w:rsidP="00E431E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86DD63A" wp14:editId="51C91275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C792B7B" w14:textId="64582A11" w:rsidR="00FF7555" w:rsidRPr="00E431EA" w:rsidRDefault="00E431EA" w:rsidP="00E431E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</w:t>
      </w:r>
      <w:r>
        <w:rPr>
          <w:sz w:val="22"/>
          <w:szCs w:val="22"/>
        </w:rPr>
        <w:t>пускников»</w:t>
      </w:r>
      <w:bookmarkEnd w:id="6"/>
    </w:p>
    <w:p w14:paraId="6F85D5B0" w14:textId="77777777" w:rsidR="00FF7555" w:rsidRDefault="00E431EA" w:rsidP="00E431EA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8.74.</w:t>
      </w:r>
    </w:p>
    <w:p w14:paraId="7C63B021" w14:textId="77777777" w:rsidR="00FF7555" w:rsidRDefault="00E431EA" w:rsidP="00E431E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768D11C" w14:textId="77777777" w:rsidR="00FF7555" w:rsidRDefault="00E431EA" w:rsidP="00E431EA">
      <w:pPr>
        <w:spacing w:line="240" w:lineRule="auto"/>
      </w:pPr>
      <w:r>
        <w:t>Ни</w:t>
      </w:r>
      <w:r>
        <w:t>зкий уровень удовлетворённости не выявлен ни по одному вопросу.</w:t>
      </w:r>
    </w:p>
    <w:p w14:paraId="2B2AE109" w14:textId="77777777" w:rsidR="00FF7555" w:rsidRDefault="00E431EA" w:rsidP="00E431E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707E326" w14:textId="77777777" w:rsidR="00FF7555" w:rsidRDefault="00E431EA" w:rsidP="00E431EA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4A1EA37" w14:textId="77777777" w:rsidR="00FF7555" w:rsidRDefault="00E431EA" w:rsidP="00E431EA">
      <w:pPr>
        <w:spacing w:line="240" w:lineRule="auto"/>
      </w:pPr>
      <w:r>
        <w:t xml:space="preserve">Высокий уровень удовлетворённости отмечен по вопросам: </w:t>
      </w:r>
      <w:r>
        <w:t>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</w:t>
      </w:r>
      <w:r>
        <w:t xml:space="preserve">ельности», «Оцените способность обучающихся/выпускников гармонично вписаться в корпоративную культуру организации/предприятия», «Оцените коммуникативные качества обучающихся/выпускников», «Оцените способность обучающихся/выпускников к новациям и участию в </w:t>
      </w:r>
      <w:r>
        <w:t>инновационной деятельности», «Оцените воспитание, общую культуру и эрудированность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</w:t>
      </w:r>
      <w:r>
        <w:t>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дисциплину и исполнительность обучающихся/выпускников», «Оцените дополнительные знания и н</w:t>
      </w:r>
      <w:r>
        <w:t>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59C7357C" w14:textId="66E4D46A" w:rsidR="00FF7555" w:rsidRDefault="00E431EA" w:rsidP="00E431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A5BC8B0" w14:textId="63C589F0" w:rsidR="00FF7555" w:rsidRDefault="00E431EA" w:rsidP="00E431E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BD723B" wp14:editId="67C09FF6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EDE55" w14:textId="48838FCD" w:rsidR="00FF7555" w:rsidRPr="00E431EA" w:rsidRDefault="00E431EA" w:rsidP="00E431E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71426EA" w14:textId="77777777" w:rsidR="00FF7555" w:rsidRDefault="00E431EA" w:rsidP="00E431EA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9.54, что является показателем высокого уровня удовле</w:t>
      </w:r>
      <w:r>
        <w:t>творённости (75-100%).</w:t>
      </w:r>
    </w:p>
    <w:p w14:paraId="4B25B626" w14:textId="77777777" w:rsidR="00FF7555" w:rsidRDefault="00E431EA" w:rsidP="00E431EA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8.74, что является показателем высокого уровня удовлетворённости (75-100%).</w:t>
      </w:r>
    </w:p>
    <w:p w14:paraId="00C9B32A" w14:textId="002FD905" w:rsidR="00FF7555" w:rsidRDefault="00E431EA" w:rsidP="00E431EA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9.14 (75-100%)</w:t>
      </w:r>
      <w:r>
        <w:t>, что является показателем высокого уровня удовлетворённости.</w:t>
      </w:r>
    </w:p>
    <w:p w14:paraId="54EB0030" w14:textId="77777777" w:rsidR="00FF7555" w:rsidRDefault="00E431EA" w:rsidP="00E431EA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5673188A" w14:textId="77777777" w:rsidR="00FF7555" w:rsidRDefault="00E431EA" w:rsidP="00E431EA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FF755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749EE" w14:textId="77777777" w:rsidR="00000000" w:rsidRDefault="00E431EA">
      <w:pPr>
        <w:spacing w:line="240" w:lineRule="auto"/>
      </w:pPr>
      <w:r>
        <w:separator/>
      </w:r>
    </w:p>
  </w:endnote>
  <w:endnote w:type="continuationSeparator" w:id="0">
    <w:p w14:paraId="3D98B44D" w14:textId="77777777" w:rsidR="00000000" w:rsidRDefault="00E431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F348" w14:textId="77777777" w:rsidR="00FF7555" w:rsidRDefault="00FF75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6396" w14:textId="26024E4E" w:rsidR="00FF7555" w:rsidRDefault="00E431EA">
    <w:pPr>
      <w:pStyle w:val="af4"/>
      <w:rPr>
        <w:color w:val="000000"/>
      </w:rPr>
    </w:pPr>
    <w:r>
      <w:rPr>
        <w:noProof/>
      </w:rPr>
      <w:pict w14:anchorId="397704D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61BEDB3" w14:textId="77777777" w:rsidR="00FF7555" w:rsidRDefault="00FF755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87ACD82" w14:textId="77777777" w:rsidR="00FF7555" w:rsidRDefault="00E431E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5C04929" w14:textId="77777777" w:rsidR="00FF7555" w:rsidRDefault="00FF7555">
    <w:pPr>
      <w:pStyle w:val="af4"/>
    </w:pPr>
  </w:p>
  <w:p w14:paraId="5CC3714D" w14:textId="5D15EAF8" w:rsidR="00FF7555" w:rsidRDefault="00E431EA">
    <w:pPr>
      <w:pStyle w:val="af4"/>
    </w:pPr>
    <w:r>
      <w:rPr>
        <w:noProof/>
      </w:rPr>
      <w:pict w14:anchorId="4FB13A49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8FEFF06" w14:textId="77777777" w:rsidR="00FF7555" w:rsidRDefault="00FF755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0662" w14:textId="77777777" w:rsidR="00FF7555" w:rsidRDefault="00FF75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F9A1" w14:textId="77777777" w:rsidR="00000000" w:rsidRDefault="00E431EA">
      <w:pPr>
        <w:spacing w:line="240" w:lineRule="auto"/>
      </w:pPr>
      <w:r>
        <w:separator/>
      </w:r>
    </w:p>
  </w:footnote>
  <w:footnote w:type="continuationSeparator" w:id="0">
    <w:p w14:paraId="1B3AEC01" w14:textId="77777777" w:rsidR="00000000" w:rsidRDefault="00E431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45469"/>
    <w:multiLevelType w:val="multilevel"/>
    <w:tmpl w:val="2D20A33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1A0547"/>
    <w:multiLevelType w:val="multilevel"/>
    <w:tmpl w:val="6CD491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7555"/>
    <w:rsid w:val="00E431E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7B9AE2"/>
  <w15:docId w15:val="{A4ECE893-7B86-48A0-8DBE-4C71E568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3653</TotalTime>
  <Pages>5</Pages>
  <Words>1201</Words>
  <Characters>6852</Characters>
  <Application>Microsoft Office Word</Application>
  <DocSecurity>0</DocSecurity>
  <Lines>57</Lines>
  <Paragraphs>16</Paragraphs>
  <ScaleCrop>false</ScaleCrop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